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971AC05">
      <w:pPr>
        <w:jc w:val="center"/>
        <w:rPr>
          <w:rFonts w:hint="eastAsia" w:asciiTheme="minorEastAsia" w:hAnsiTheme="minorEastAsia" w:cstheme="minorEastAsia"/>
          <w:b/>
          <w:bCs/>
          <w:sz w:val="40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40"/>
          <w:szCs w:val="40"/>
          <w:lang w:val="en-US" w:eastAsia="zh-CN"/>
        </w:rPr>
        <w:t>江西理工大学继续教育学院</w:t>
      </w:r>
    </w:p>
    <w:p w14:paraId="554ECE57">
      <w:pPr>
        <w:jc w:val="center"/>
        <w:rPr>
          <w:rFonts w:hint="eastAsia" w:asciiTheme="minorEastAsia" w:hAnsiTheme="minorEastAsia" w:cstheme="minorEastAsia"/>
          <w:b/>
          <w:bCs/>
          <w:sz w:val="40"/>
          <w:szCs w:val="40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40"/>
          <w:szCs w:val="40"/>
          <w:lang w:val="en-US" w:eastAsia="zh-CN"/>
        </w:rPr>
        <w:t>本科毕业论文（设计）上传和查重指南(学生版）</w:t>
      </w:r>
    </w:p>
    <w:sdt>
      <w:sdtPr>
        <w:rPr>
          <w:rFonts w:ascii="宋体" w:hAnsi="宋体" w:eastAsia="宋体" w:cstheme="minorBidi"/>
          <w:kern w:val="2"/>
          <w:sz w:val="22"/>
          <w:szCs w:val="28"/>
          <w:lang w:val="en-US" w:eastAsia="zh-CN" w:bidi="ar-SA"/>
        </w:rPr>
        <w:id w:val="147461393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theme="minorBidi"/>
          <w:kern w:val="2"/>
          <w:sz w:val="22"/>
          <w:szCs w:val="28"/>
          <w:lang w:val="en-US" w:eastAsia="zh-CN" w:bidi="ar-SA"/>
        </w:rPr>
      </w:sdtEndPr>
      <w:sdtContent>
        <w:p w14:paraId="79818572">
          <w:pPr>
            <w:jc w:val="center"/>
            <w:rPr>
              <w:rFonts w:ascii="宋体" w:hAnsi="宋体" w:eastAsia="宋体" w:cstheme="minorBidi"/>
              <w:kern w:val="2"/>
              <w:sz w:val="22"/>
              <w:szCs w:val="28"/>
              <w:lang w:val="en-US" w:eastAsia="zh-CN" w:bidi="ar-SA"/>
            </w:rPr>
          </w:pPr>
        </w:p>
        <w:p w14:paraId="0FBDC4BA">
          <w:pPr>
            <w:jc w:val="center"/>
            <w:rPr>
              <w:b/>
              <w:bCs/>
              <w:sz w:val="32"/>
              <w:szCs w:val="40"/>
            </w:rPr>
          </w:pPr>
          <w:r>
            <w:rPr>
              <w:rFonts w:ascii="宋体" w:hAnsi="宋体" w:eastAsia="宋体"/>
              <w:b/>
              <w:bCs/>
              <w:sz w:val="32"/>
              <w:szCs w:val="40"/>
            </w:rPr>
            <w:t>目录</w:t>
          </w:r>
        </w:p>
        <w:p w14:paraId="628CC631">
          <w:pPr>
            <w:pStyle w:val="5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</w:pPr>
          <w:r>
            <w:rPr>
              <w:sz w:val="22"/>
              <w:szCs w:val="28"/>
            </w:rPr>
            <w:fldChar w:fldCharType="begin"/>
          </w:r>
          <w:r>
            <w:rPr>
              <w:sz w:val="22"/>
              <w:szCs w:val="28"/>
            </w:rPr>
            <w:instrText xml:space="preserve">TOC \o "1-1" \h \u </w:instrText>
          </w:r>
          <w:r>
            <w:rPr>
              <w:sz w:val="22"/>
              <w:szCs w:val="28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instrText xml:space="preserve"> HYPERLINK \l _Toc8654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t>1.学生如何登录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tab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instrText xml:space="preserve"> PAGEREF _Toc8654 \h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t>2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end"/>
          </w:r>
        </w:p>
        <w:p w14:paraId="67FD386F">
          <w:pPr>
            <w:pStyle w:val="5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instrText xml:space="preserve"> HYPERLINK \l _Toc6046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t>2.</w:t>
          </w:r>
          <w:r>
            <w:rPr>
              <w:rFonts w:hint="eastAsia" w:asciiTheme="minorEastAsia" w:hAnsiTheme="minorEastAsia" w:cstheme="minorEastAsia"/>
              <w:b/>
              <w:bCs/>
              <w:sz w:val="28"/>
              <w:szCs w:val="36"/>
              <w:lang w:val="en-US" w:eastAsia="zh-CN"/>
            </w:rPr>
            <w:t>提交任务书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tab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instrText xml:space="preserve"> PAGEREF _Toc6046 \h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separate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t>4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end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end"/>
          </w:r>
        </w:p>
        <w:p w14:paraId="30A02261">
          <w:pPr>
            <w:pStyle w:val="5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instrText xml:space="preserve"> HYPERLINK \l _Toc6046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separate"/>
          </w:r>
          <w:r>
            <w:rPr>
              <w:rFonts w:hint="eastAsia" w:asciiTheme="minorEastAsia" w:hAnsiTheme="minorEastAsia" w:cstheme="minorEastAsia"/>
              <w:b/>
              <w:bCs/>
              <w:sz w:val="28"/>
              <w:szCs w:val="36"/>
              <w:lang w:val="en-US" w:eastAsia="zh-CN"/>
            </w:rPr>
            <w:t>3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t>.上传论文，进行论文查重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tab/>
          </w:r>
          <w:r>
            <w:rPr>
              <w:rFonts w:hint="eastAsia" w:asciiTheme="minorEastAsia" w:hAnsiTheme="minorEastAsia" w:cstheme="minorEastAsia"/>
              <w:b/>
              <w:bCs/>
              <w:sz w:val="28"/>
              <w:szCs w:val="36"/>
              <w:lang w:val="en-US" w:eastAsia="zh-CN"/>
            </w:rPr>
            <w:t>4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end"/>
          </w:r>
        </w:p>
        <w:p w14:paraId="09F01CE7">
          <w:pPr>
            <w:pStyle w:val="5"/>
            <w:tabs>
              <w:tab w:val="right" w:leader="dot" w:pos="8306"/>
            </w:tabs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</w:pP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begin"/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instrText xml:space="preserve"> HYPERLINK \l _Toc8856 </w:instrTex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separate"/>
          </w:r>
          <w:r>
            <w:rPr>
              <w:rFonts w:hint="eastAsia" w:asciiTheme="minorEastAsia" w:hAnsiTheme="minorEastAsia" w:cstheme="minorEastAsia"/>
              <w:b/>
              <w:bCs/>
              <w:sz w:val="28"/>
              <w:szCs w:val="36"/>
              <w:lang w:val="en-US" w:eastAsia="zh-CN"/>
            </w:rPr>
            <w:t>4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  <w:lang w:val="en-US" w:eastAsia="zh-CN"/>
            </w:rPr>
            <w:t>.进行提交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tab/>
          </w:r>
          <w:r>
            <w:rPr>
              <w:rFonts w:hint="eastAsia" w:asciiTheme="minorEastAsia" w:hAnsiTheme="minorEastAsia" w:cstheme="minorEastAsia"/>
              <w:b/>
              <w:bCs/>
              <w:sz w:val="28"/>
              <w:szCs w:val="36"/>
              <w:lang w:val="en-US" w:eastAsia="zh-CN"/>
            </w:rPr>
            <w:t>6</w:t>
          </w:r>
          <w:r>
            <w:rPr>
              <w:rFonts w:hint="eastAsia" w:asciiTheme="minorEastAsia" w:hAnsiTheme="minorEastAsia" w:eastAsiaTheme="minorEastAsia" w:cstheme="minorEastAsia"/>
              <w:b/>
              <w:bCs/>
              <w:sz w:val="28"/>
              <w:szCs w:val="36"/>
            </w:rPr>
            <w:fldChar w:fldCharType="end"/>
          </w:r>
        </w:p>
        <w:p w14:paraId="737E38E1">
          <w:pPr>
            <w:rPr>
              <w:sz w:val="22"/>
              <w:szCs w:val="28"/>
            </w:rPr>
          </w:pPr>
          <w:r>
            <w:rPr>
              <w:sz w:val="22"/>
              <w:szCs w:val="28"/>
            </w:rPr>
            <w:fldChar w:fldCharType="end"/>
          </w:r>
        </w:p>
      </w:sdtContent>
    </w:sdt>
    <w:p w14:paraId="347424B9">
      <w:p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 w14:paraId="74E5C77C">
      <w:pP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</w:pPr>
    </w:p>
    <w:p w14:paraId="23141C96">
      <w:pPr>
        <w:rPr>
          <w:rFonts w:hint="eastAsia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【注意】每位学生2次免费查重机</w:t>
      </w:r>
      <w:bookmarkStart w:id="3" w:name="_GoBack"/>
      <w:bookmarkEnd w:id="3"/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会，请各位同学谨慎使用查重次</w:t>
      </w:r>
      <w:r>
        <w:rPr>
          <w:rFonts w:hint="eastAsia" w:asciiTheme="minorEastAsia" w:hAnsiTheme="minorEastAsia" w:cstheme="minorEastAsia"/>
          <w:b/>
          <w:bCs/>
          <w:sz w:val="28"/>
          <w:szCs w:val="28"/>
          <w:highlight w:val="none"/>
          <w:lang w:val="en-US" w:eastAsia="zh-CN"/>
        </w:rPr>
        <w:t>数。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br w:type="page"/>
      </w:r>
    </w:p>
    <w:p w14:paraId="5D04C8B4">
      <w:pPr>
        <w:pStyle w:val="3"/>
        <w:numPr>
          <w:ilvl w:val="0"/>
          <w:numId w:val="0"/>
        </w:numPr>
        <w:bidi w:val="0"/>
        <w:outlineLvl w:val="0"/>
        <w:rPr>
          <w:rFonts w:hint="eastAsia"/>
          <w:sz w:val="32"/>
          <w:szCs w:val="36"/>
          <w:lang w:val="en-US" w:eastAsia="zh-CN"/>
        </w:rPr>
      </w:pPr>
      <w:bookmarkStart w:id="0" w:name="_Toc8654"/>
      <w:r>
        <w:rPr>
          <w:rFonts w:hint="eastAsia"/>
          <w:sz w:val="32"/>
          <w:szCs w:val="36"/>
          <w:lang w:val="en-US" w:eastAsia="zh-CN"/>
        </w:rPr>
        <w:t>1.学生如何登录：</w:t>
      </w:r>
      <w:bookmarkEnd w:id="0"/>
    </w:p>
    <w:p w14:paraId="4A1C8D8B">
      <w:pPr>
        <w:ind w:firstLine="560" w:firstLineChars="200"/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打开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浏览器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（</w:t>
      </w:r>
      <w:r>
        <w:rPr>
          <w:rFonts w:hint="eastAsia" w:asciiTheme="minorEastAsia" w:hAnsiTheme="minorEastAsia" w:cstheme="minorEastAsia"/>
          <w:b w:val="0"/>
          <w:bCs w:val="0"/>
          <w:sz w:val="24"/>
          <w:szCs w:val="24"/>
          <w:lang w:val="en-US" w:eastAsia="zh-CN"/>
        </w:rPr>
        <w:t>建议使用谷歌浏览器，QQ浏览器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）。</w:t>
      </w:r>
    </w:p>
    <w:p w14:paraId="591E1383">
      <w:pPr>
        <w:ind w:firstLine="560" w:firstLineChars="200"/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在</w:t>
      </w:r>
      <w:r>
        <w:rPr>
          <w:rFonts w:hint="eastAsia" w:asciiTheme="minorEastAsia" w:hAnsiTheme="minorEastAsia" w:eastAsiaTheme="minorEastAsia" w:cstheme="minorEastAsia"/>
          <w:b w:val="0"/>
          <w:bCs w:val="0"/>
          <w:sz w:val="28"/>
          <w:szCs w:val="28"/>
          <w:lang w:val="en-US" w:eastAsia="zh-CN"/>
        </w:rPr>
        <w:t>地址栏输入</w:t>
      </w:r>
      <w:r>
        <w:rPr>
          <w:rFonts w:hint="eastAsia" w:asciiTheme="minorEastAsia" w:hAnsiTheme="minorEastAsia" w:eastAsiaTheme="minorEastAsia" w:cstheme="minorEastAsia"/>
          <w:b w:val="0"/>
          <w:bCs w:val="0"/>
          <w:color w:val="auto"/>
          <w:sz w:val="28"/>
          <w:szCs w:val="28"/>
          <w:lang w:val="en-US" w:eastAsia="zh-CN"/>
        </w:rPr>
        <w:t>网址：</w:t>
      </w:r>
      <w:r>
        <w:rPr>
          <w:rFonts w:hint="eastAsia" w:asciiTheme="minorEastAsia" w:hAnsiTheme="minorEastAsia" w:eastAsiaTheme="minorEastAsia" w:cstheme="minorEastAsia"/>
          <w:b/>
          <w:bCs/>
          <w:color w:val="auto"/>
          <w:sz w:val="28"/>
          <w:szCs w:val="28"/>
          <w:u w:val="none"/>
          <w:lang w:val="en-US" w:eastAsia="zh-CN"/>
        </w:rPr>
        <w:t>https://www.qingshuxuetang.com/jxust</w:t>
      </w:r>
    </w:p>
    <w:p w14:paraId="7280C95C">
      <w:pPr>
        <w:ind w:firstLine="562" w:firstLineChars="200"/>
        <w:rPr>
          <w:rFonts w:hint="eastAsia" w:asciiTheme="minorEastAsia" w:hAnsiTheme="minorEastAsia" w:eastAsiaTheme="minorEastAsia" w:cstheme="minorEastAsia"/>
          <w:b w:val="0"/>
          <w:bCs w:val="0"/>
          <w:color w:val="FF0000"/>
          <w:sz w:val="28"/>
          <w:szCs w:val="28"/>
          <w:u w:val="none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在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val="en-US" w:eastAsia="zh-CN"/>
        </w:rPr>
        <w:t>右上角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lang w:val="en-US" w:eastAsia="zh-CN"/>
        </w:rPr>
        <w:t>点击</w:t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  <w:highlight w:val="none"/>
          <w:lang w:val="en-US" w:eastAsia="zh-CN"/>
        </w:rPr>
        <w:t>“登录”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highlight w:val="none"/>
          <w:lang w:val="en-US" w:eastAsia="zh-CN"/>
        </w:rPr>
        <w:t>按钮</w:t>
      </w:r>
    </w:p>
    <w:p w14:paraId="018258FA">
      <w:pPr>
        <w:jc w:val="both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drawing>
          <wp:inline distT="0" distB="0" distL="114300" distR="114300">
            <wp:extent cx="5267325" cy="2423160"/>
            <wp:effectExtent l="0" t="0" r="571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2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BD2394">
      <w:pPr>
        <w:ind w:firstLine="280" w:firstLineChars="1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选择登陆方式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：</w:t>
      </w:r>
    </w:p>
    <w:p w14:paraId="3BC4DFBD"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方式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①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：输入账号密码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，输入计算结果，点击登录</w:t>
      </w:r>
    </w:p>
    <w:p w14:paraId="1D384B72">
      <w:pPr>
        <w:ind w:firstLine="560" w:firstLineChars="200"/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方式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②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：选择验证码登录，输入已绑定的手机号，查看短信验证码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并登录。</w:t>
      </w:r>
    </w:p>
    <w:p w14:paraId="4B6C42BE">
      <w:pPr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2122805" cy="2468880"/>
            <wp:effectExtent l="0" t="0" r="10795" b="762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22805" cy="2468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ab/>
      </w:r>
      <w:r>
        <w:rPr>
          <w:rFonts w:hint="eastAsia" w:asciiTheme="minorEastAsia" w:hAnsiTheme="minorEastAsia" w:eastAsiaTheme="minorEastAsia" w:cstheme="minorEastAsia"/>
          <w:sz w:val="28"/>
          <w:szCs w:val="28"/>
        </w:rPr>
        <w:drawing>
          <wp:inline distT="0" distB="0" distL="114300" distR="114300">
            <wp:extent cx="2286000" cy="2285365"/>
            <wp:effectExtent l="0" t="0" r="0" b="63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6"/>
                    <a:srcRect b="17492"/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2285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42B296">
      <w:pPr>
        <w:jc w:val="center"/>
        <w:rPr>
          <w:rFonts w:hint="eastAsia" w:asciiTheme="minorEastAsia" w:hAnsiTheme="minorEastAsia" w:eastAsiaTheme="minorEastAsia" w:cstheme="minorEastAsia"/>
          <w:sz w:val="28"/>
          <w:szCs w:val="28"/>
        </w:rPr>
      </w:pPr>
    </w:p>
    <w:p w14:paraId="08037AA7">
      <w:pPr>
        <w:pStyle w:val="3"/>
        <w:numPr>
          <w:ilvl w:val="0"/>
          <w:numId w:val="0"/>
        </w:numPr>
        <w:bidi w:val="0"/>
        <w:outlineLvl w:val="0"/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8"/>
          <w:szCs w:val="28"/>
          <w:lang w:val="en-US" w:eastAsia="zh-CN" w:bidi="ar-SA"/>
        </w:rPr>
        <w:t>登录后，如图示：点击论文，点击论文流程，进入任务书步骤。</w:t>
      </w:r>
    </w:p>
    <w:p w14:paraId="7618A717">
      <w:pPr>
        <w:pStyle w:val="3"/>
        <w:numPr>
          <w:ilvl w:val="0"/>
          <w:numId w:val="0"/>
        </w:numPr>
        <w:bidi w:val="0"/>
        <w:outlineLvl w:val="0"/>
        <w:rPr>
          <w:rFonts w:hint="eastAsia"/>
          <w:sz w:val="32"/>
          <w:szCs w:val="36"/>
          <w:lang w:val="en-US" w:eastAsia="zh-CN"/>
        </w:rPr>
      </w:pPr>
      <w:r>
        <w:drawing>
          <wp:inline distT="0" distB="0" distL="114300" distR="114300">
            <wp:extent cx="5268595" cy="1470025"/>
            <wp:effectExtent l="0" t="0" r="1905" b="3175"/>
            <wp:docPr id="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47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666783">
      <w:pPr>
        <w:pStyle w:val="3"/>
        <w:numPr>
          <w:ilvl w:val="0"/>
          <w:numId w:val="0"/>
        </w:numPr>
        <w:bidi w:val="0"/>
        <w:outlineLvl w:val="0"/>
        <w:rPr>
          <w:rFonts w:hint="default"/>
          <w:sz w:val="32"/>
          <w:szCs w:val="36"/>
          <w:lang w:val="en-US" w:eastAsia="zh-CN"/>
        </w:rPr>
      </w:pPr>
      <w:r>
        <w:rPr>
          <w:rFonts w:hint="eastAsia"/>
          <w:sz w:val="32"/>
          <w:szCs w:val="36"/>
          <w:lang w:val="en-US" w:eastAsia="zh-CN"/>
        </w:rPr>
        <w:t>2.提交任务书</w:t>
      </w:r>
    </w:p>
    <w:p w14:paraId="0303D544">
      <w:pPr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论文提交前，须先提交任务书（如下图），按要求与自身情况填写论文的基本信息并上传任务书，上传完毕后，联系指导老师进行审核，审核通过后方可提交论文并查重。</w:t>
      </w:r>
    </w:p>
    <w:p w14:paraId="04745D6F">
      <w:pPr>
        <w:rPr>
          <w:rFonts w:hint="eastAsia" w:asciiTheme="minorEastAsia" w:hAnsiTheme="minorEastAsia" w:cstheme="minorEastAsia"/>
          <w:sz w:val="28"/>
          <w:szCs w:val="28"/>
          <w:lang w:eastAsia="zh-CN"/>
        </w:rPr>
      </w:pPr>
      <w:r>
        <w:drawing>
          <wp:inline distT="0" distB="0" distL="114300" distR="114300">
            <wp:extent cx="5269865" cy="3809365"/>
            <wp:effectExtent l="0" t="0" r="635" b="63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80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7ADF79">
      <w:pPr>
        <w:rPr>
          <w:rFonts w:hint="eastAsia" w:asciiTheme="minorEastAsia" w:hAnsiTheme="minorEastAsia" w:cstheme="minorEastAsia"/>
          <w:sz w:val="28"/>
          <w:szCs w:val="28"/>
          <w:lang w:eastAsia="zh-CN"/>
        </w:rPr>
      </w:pPr>
    </w:p>
    <w:p w14:paraId="7B7513D2">
      <w:pPr>
        <w:pStyle w:val="3"/>
        <w:numPr>
          <w:ilvl w:val="0"/>
          <w:numId w:val="0"/>
        </w:numPr>
        <w:bidi w:val="0"/>
        <w:outlineLvl w:val="0"/>
        <w:rPr>
          <w:rFonts w:hint="eastAsia"/>
          <w:sz w:val="32"/>
          <w:szCs w:val="36"/>
          <w:lang w:val="en-US" w:eastAsia="zh-CN"/>
        </w:rPr>
      </w:pPr>
      <w:bookmarkStart w:id="1" w:name="_Toc6046"/>
      <w:r>
        <w:rPr>
          <w:rFonts w:hint="eastAsia"/>
          <w:sz w:val="32"/>
          <w:szCs w:val="36"/>
          <w:lang w:val="en-US" w:eastAsia="zh-CN"/>
        </w:rPr>
        <w:t>3.上传论文，进行论文查重</w:t>
      </w:r>
      <w:bookmarkEnd w:id="1"/>
    </w:p>
    <w:p w14:paraId="2C1C15E7">
      <w:pPr>
        <w:ind w:firstLine="281" w:firstLineChars="100"/>
        <w:rPr>
          <w:rFonts w:hint="default" w:asciiTheme="minorEastAsia" w:hAnsiTheme="minorEastAsia" w:cstheme="minorEastAsia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（1）任务书通过后，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如图示：点击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论文，</w:t>
      </w:r>
      <w:r>
        <w:rPr>
          <w:rFonts w:hint="eastAsia" w:asciiTheme="minorEastAsia" w:hAnsiTheme="minorEastAsia" w:eastAsiaTheme="minorEastAsia" w:cstheme="minorEastAsia"/>
          <w:sz w:val="28"/>
          <w:szCs w:val="28"/>
          <w:lang w:val="en-US" w:eastAsia="zh-CN"/>
        </w:rPr>
        <w:t>点击论文</w:t>
      </w:r>
      <w:r>
        <w:rPr>
          <w:rFonts w:hint="eastAsia" w:asciiTheme="minorEastAsia" w:hAnsiTheme="minorEastAsia" w:cstheme="minorEastAsia"/>
          <w:sz w:val="28"/>
          <w:szCs w:val="28"/>
          <w:lang w:val="en-US" w:eastAsia="zh-CN"/>
        </w:rPr>
        <w:t>流程，填写论文关键字，上传论文（论文稿件格式</w:t>
      </w:r>
      <w:r>
        <w:rPr>
          <w:rFonts w:ascii="宋体" w:hAnsi="宋体" w:eastAsia="宋体" w:cs="宋体"/>
          <w:sz w:val="28"/>
          <w:szCs w:val="28"/>
        </w:rPr>
        <w:t>“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学号+</w:t>
      </w:r>
      <w:r>
        <w:rPr>
          <w:rFonts w:ascii="宋体" w:hAnsi="宋体" w:eastAsia="宋体" w:cs="宋体"/>
          <w:sz w:val="28"/>
          <w:szCs w:val="28"/>
        </w:rPr>
        <w:t>张三”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），</w:t>
      </w:r>
      <w:r>
        <w:rPr>
          <w:rFonts w:hint="eastAsia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  <w:t>上传论文后点论文查重，点击刷新按钮，选择对应的查重报告，论文查重后才能进行提交。</w:t>
      </w:r>
    </w:p>
    <w:p w14:paraId="0DC83709">
      <w:pPr>
        <w:ind w:left="279" w:leftChars="133" w:firstLine="0" w:firstLineChars="0"/>
        <w:rPr>
          <w:rFonts w:hint="default" w:asciiTheme="minorEastAsia" w:hAnsiTheme="minorEastAsia" w:cstheme="minorEastAsia"/>
          <w:b/>
          <w:bCs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如果查状态是未通过，则需要再次上传</w:t>
      </w:r>
    </w:p>
    <w:p w14:paraId="4396843E">
      <w:r>
        <w:drawing>
          <wp:inline distT="0" distB="0" distL="114300" distR="114300">
            <wp:extent cx="5268595" cy="4067810"/>
            <wp:effectExtent l="0" t="0" r="1905" b="889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40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7D0CE">
      <w:r>
        <w:drawing>
          <wp:inline distT="0" distB="0" distL="114300" distR="114300">
            <wp:extent cx="5273040" cy="2017395"/>
            <wp:effectExtent l="0" t="0" r="10160" b="1905"/>
            <wp:docPr id="1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49FD0C">
      <w:pPr>
        <w:rPr>
          <w:rFonts w:hint="default"/>
          <w:sz w:val="22"/>
          <w:szCs w:val="28"/>
          <w:lang w:val="en-US" w:eastAsia="zh-CN"/>
        </w:rPr>
      </w:pPr>
      <w:r>
        <w:rPr>
          <w:rFonts w:hint="eastAsia" w:ascii="Calibri" w:hAnsi="Calibri" w:eastAsia="宋体" w:cstheme="minorBidi"/>
          <w:b/>
          <w:bCs/>
          <w:kern w:val="2"/>
          <w:sz w:val="32"/>
          <w:szCs w:val="36"/>
          <w:lang w:val="en-US" w:eastAsia="zh-CN" w:bidi="ar-SA"/>
        </w:rPr>
        <w:t>（2）论文查重</w:t>
      </w:r>
    </w:p>
    <w:p w14:paraId="00F5A824">
      <w:pPr>
        <w:numPr>
          <w:ilvl w:val="0"/>
          <w:numId w:val="0"/>
        </w:numPr>
        <w:ind w:firstLine="280" w:firstLineChars="10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①论文-论文流程，点击论文上传后，点击论文查重</w:t>
      </w:r>
    </w:p>
    <w:p w14:paraId="5747F2D3">
      <w:pPr>
        <w:numPr>
          <w:ilvl w:val="0"/>
          <w:numId w:val="0"/>
        </w:numPr>
        <w:ind w:firstLine="560" w:firstLineChars="200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点击立即检测</w:t>
      </w:r>
    </w:p>
    <w:p w14:paraId="780C5D7D">
      <w:pPr>
        <w:numPr>
          <w:ilvl w:val="0"/>
          <w:numId w:val="0"/>
        </w:numPr>
        <w:rPr>
          <w:rFonts w:hint="eastAsia"/>
          <w:sz w:val="22"/>
          <w:szCs w:val="28"/>
          <w:lang w:val="en-US" w:eastAsia="zh-CN"/>
        </w:rPr>
      </w:pPr>
      <w:r>
        <w:rPr>
          <w:sz w:val="22"/>
          <w:szCs w:val="28"/>
        </w:rPr>
        <w:drawing>
          <wp:inline distT="0" distB="0" distL="114300" distR="114300">
            <wp:extent cx="5266690" cy="2028825"/>
            <wp:effectExtent l="0" t="0" r="10160" b="9525"/>
            <wp:docPr id="1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F57638">
      <w:pPr>
        <w:numPr>
          <w:ilvl w:val="0"/>
          <w:numId w:val="0"/>
        </w:numPr>
        <w:ind w:firstLine="280" w:firstLineChars="100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②点击提交</w:t>
      </w:r>
    </w:p>
    <w:p w14:paraId="120CA4AF">
      <w:pPr>
        <w:numPr>
          <w:ilvl w:val="0"/>
          <w:numId w:val="0"/>
        </w:numPr>
        <w:ind w:firstLine="280" w:firstLineChars="100"/>
        <w:rPr>
          <w:rFonts w:hint="default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color w:val="FF0000"/>
          <w:sz w:val="28"/>
          <w:szCs w:val="28"/>
          <w:lang w:val="en-US" w:eastAsia="zh-CN"/>
        </w:rPr>
        <w:t>（每个学生只有2次免费查重的机会）</w:t>
      </w: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，点击“开始检测”。</w:t>
      </w:r>
    </w:p>
    <w:p w14:paraId="79DC2952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sz w:val="22"/>
          <w:szCs w:val="28"/>
        </w:rPr>
        <w:drawing>
          <wp:inline distT="0" distB="0" distL="114300" distR="114300">
            <wp:extent cx="5272405" cy="2108200"/>
            <wp:effectExtent l="0" t="0" r="635" b="1016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0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19A85F">
      <w:pPr>
        <w:numPr>
          <w:ilvl w:val="0"/>
          <w:numId w:val="0"/>
        </w:numPr>
        <w:ind w:firstLine="280" w:firstLineChars="100"/>
        <w:rPr>
          <w:rFonts w:hint="default"/>
          <w:sz w:val="22"/>
          <w:szCs w:val="28"/>
          <w:lang w:val="en-US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③等待若干分钟，得到相似率则检测完成</w:t>
      </w:r>
    </w:p>
    <w:p w14:paraId="484DC435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sz w:val="22"/>
          <w:szCs w:val="28"/>
        </w:rPr>
        <w:drawing>
          <wp:inline distT="0" distB="0" distL="114300" distR="114300">
            <wp:extent cx="5074920" cy="2005330"/>
            <wp:effectExtent l="0" t="0" r="5080" b="1270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4920" cy="2005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D404B4">
      <w:pPr>
        <w:numPr>
          <w:ilvl w:val="0"/>
          <w:numId w:val="0"/>
        </w:numPr>
        <w:ind w:firstLine="560" w:firstLineChars="200"/>
        <w:rPr>
          <w:sz w:val="22"/>
          <w:szCs w:val="28"/>
        </w:rPr>
      </w:pPr>
      <w:r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  <w:t>④若免费次数已经消耗，则提示缴费</w:t>
      </w:r>
    </w:p>
    <w:p w14:paraId="21A6282A">
      <w:pPr>
        <w:numPr>
          <w:ilvl w:val="0"/>
          <w:numId w:val="0"/>
        </w:numPr>
        <w:jc w:val="center"/>
        <w:rPr>
          <w:rFonts w:hint="eastAsia" w:ascii="微软雅黑" w:hAnsi="微软雅黑" w:eastAsia="微软雅黑" w:cs="微软雅黑"/>
          <w:sz w:val="28"/>
          <w:szCs w:val="28"/>
          <w:lang w:val="en-US" w:eastAsia="zh-CN"/>
        </w:rPr>
      </w:pPr>
      <w:r>
        <w:rPr>
          <w:rFonts w:hint="eastAsia" w:ascii="微软雅黑" w:hAnsi="微软雅黑" w:eastAsia="微软雅黑" w:cs="微软雅黑"/>
          <w:sz w:val="28"/>
          <w:szCs w:val="28"/>
        </w:rPr>
        <w:drawing>
          <wp:inline distT="0" distB="0" distL="114300" distR="114300">
            <wp:extent cx="4535170" cy="1544320"/>
            <wp:effectExtent l="0" t="0" r="6350" b="1016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t="42973"/>
                    <a:stretch>
                      <a:fillRect/>
                    </a:stretch>
                  </pic:blipFill>
                  <pic:spPr>
                    <a:xfrm>
                      <a:off x="0" y="0"/>
                      <a:ext cx="4535170" cy="1544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647642">
      <w:pPr>
        <w:pStyle w:val="3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beforeLines="0" w:line="240" w:lineRule="auto"/>
        <w:textAlignment w:val="auto"/>
        <w:outlineLvl w:val="0"/>
        <w:rPr>
          <w:rFonts w:hint="default"/>
          <w:sz w:val="32"/>
          <w:szCs w:val="36"/>
          <w:lang w:val="en-US" w:eastAsia="zh-CN"/>
        </w:rPr>
      </w:pPr>
      <w:bookmarkStart w:id="2" w:name="_Toc8856"/>
      <w:r>
        <w:rPr>
          <w:rFonts w:hint="eastAsia"/>
          <w:sz w:val="32"/>
          <w:szCs w:val="36"/>
          <w:lang w:val="en-US" w:eastAsia="zh-CN"/>
        </w:rPr>
        <w:t>4.提交</w:t>
      </w:r>
      <w:bookmarkEnd w:id="2"/>
      <w:r>
        <w:rPr>
          <w:rFonts w:hint="eastAsia"/>
          <w:sz w:val="32"/>
          <w:szCs w:val="36"/>
          <w:lang w:val="en-US" w:eastAsia="zh-CN"/>
        </w:rPr>
        <w:t>论文与检测报告</w:t>
      </w:r>
    </w:p>
    <w:p w14:paraId="497D661D">
      <w:pPr>
        <w:ind w:firstLine="281" w:firstLineChars="100"/>
        <w:rPr>
          <w:rFonts w:hint="default" w:asciiTheme="minorEastAsia" w:hAnsiTheme="minorEastAsia" w:cstheme="minorEastAsia"/>
          <w:b w:val="0"/>
          <w:bCs w:val="0"/>
          <w:sz w:val="28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返回提交页面，点图示刷新按钮，选择最新查重率，点最下方绿色提交按钮。</w:t>
      </w:r>
    </w:p>
    <w:p w14:paraId="6B679BE4">
      <w:pPr>
        <w:ind w:firstLine="220" w:firstLineChars="100"/>
        <w:rPr>
          <w:sz w:val="22"/>
          <w:szCs w:val="28"/>
        </w:rPr>
      </w:pPr>
      <w:r>
        <w:rPr>
          <w:sz w:val="22"/>
          <w:szCs w:val="28"/>
        </w:rPr>
        <w:drawing>
          <wp:inline distT="0" distB="0" distL="114300" distR="114300">
            <wp:extent cx="4013835" cy="3129915"/>
            <wp:effectExtent l="0" t="0" r="12065" b="6985"/>
            <wp:docPr id="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013835" cy="3129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F9FBA7">
      <w:pPr>
        <w:ind w:firstLine="281" w:firstLineChars="100"/>
        <w:rPr>
          <w:rFonts w:hint="default"/>
          <w:sz w:val="22"/>
          <w:szCs w:val="28"/>
          <w:lang w:val="en-US" w:eastAsia="zh-CN"/>
        </w:rPr>
      </w:pPr>
      <w:r>
        <w:rPr>
          <w:rFonts w:hint="eastAsia" w:asciiTheme="minorEastAsia" w:hAnsiTheme="minorEastAsia" w:cstheme="minorEastAsia"/>
          <w:b/>
          <w:bCs/>
          <w:sz w:val="28"/>
          <w:szCs w:val="28"/>
          <w:lang w:val="en-US" w:eastAsia="zh-CN"/>
        </w:rPr>
        <w:t>每修改一次稿件的论文对应一篇查重报告，新稿件不可对应旧稿件的查重报告，否则会出现论文与查重报告不一致的提示。如若未修改过论文可直接点击替换并提交，若修改过论文，请重新查重。</w:t>
      </w:r>
    </w:p>
    <w:p w14:paraId="2B09ED7E">
      <w:pPr>
        <w:jc w:val="center"/>
        <w:rPr>
          <w:rFonts w:hint="default"/>
          <w:sz w:val="22"/>
          <w:szCs w:val="28"/>
          <w:lang w:val="en-US" w:eastAsia="zh-CN"/>
        </w:rPr>
      </w:pPr>
      <w:r>
        <w:rPr>
          <w:sz w:val="22"/>
          <w:szCs w:val="28"/>
        </w:rPr>
        <w:drawing>
          <wp:inline distT="0" distB="0" distL="114300" distR="114300">
            <wp:extent cx="3115945" cy="1040130"/>
            <wp:effectExtent l="0" t="0" r="8255" b="127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115945" cy="104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k1ZTZkZjFhNjdhMWNjZjExYTY3MzdhZjlkODc3NjIifQ=="/>
  </w:docVars>
  <w:rsids>
    <w:rsidRoot w:val="488608A8"/>
    <w:rsid w:val="026305F6"/>
    <w:rsid w:val="02C17ACE"/>
    <w:rsid w:val="067F1777"/>
    <w:rsid w:val="072D0BD1"/>
    <w:rsid w:val="084A5DB4"/>
    <w:rsid w:val="0CC06645"/>
    <w:rsid w:val="0E175AFC"/>
    <w:rsid w:val="0E2757C0"/>
    <w:rsid w:val="0EBE0962"/>
    <w:rsid w:val="0EC5468D"/>
    <w:rsid w:val="10D17D54"/>
    <w:rsid w:val="12425176"/>
    <w:rsid w:val="125735A8"/>
    <w:rsid w:val="18702A8E"/>
    <w:rsid w:val="1BA16E9C"/>
    <w:rsid w:val="1C2A22C1"/>
    <w:rsid w:val="1E357984"/>
    <w:rsid w:val="20651585"/>
    <w:rsid w:val="20B93BE5"/>
    <w:rsid w:val="21834FA3"/>
    <w:rsid w:val="23CD191B"/>
    <w:rsid w:val="24F037B5"/>
    <w:rsid w:val="25B032A3"/>
    <w:rsid w:val="26D617C0"/>
    <w:rsid w:val="287D3AC8"/>
    <w:rsid w:val="29053906"/>
    <w:rsid w:val="2B8F0E2D"/>
    <w:rsid w:val="2F120B2A"/>
    <w:rsid w:val="314E2DEE"/>
    <w:rsid w:val="35F90194"/>
    <w:rsid w:val="384A40FD"/>
    <w:rsid w:val="38C67F35"/>
    <w:rsid w:val="3CF47BF2"/>
    <w:rsid w:val="3EAB632E"/>
    <w:rsid w:val="420446F6"/>
    <w:rsid w:val="47CF5342"/>
    <w:rsid w:val="488608A8"/>
    <w:rsid w:val="49A5754D"/>
    <w:rsid w:val="4B284C57"/>
    <w:rsid w:val="4B7D454C"/>
    <w:rsid w:val="4C03387D"/>
    <w:rsid w:val="4CB228F0"/>
    <w:rsid w:val="4D2F3665"/>
    <w:rsid w:val="50F232EF"/>
    <w:rsid w:val="51CE66DB"/>
    <w:rsid w:val="55C12DF2"/>
    <w:rsid w:val="581A74A3"/>
    <w:rsid w:val="585E1EE7"/>
    <w:rsid w:val="5BCA019E"/>
    <w:rsid w:val="5EBC7D37"/>
    <w:rsid w:val="5F2A7439"/>
    <w:rsid w:val="60515BE3"/>
    <w:rsid w:val="60CF6E5D"/>
    <w:rsid w:val="621E2D67"/>
    <w:rsid w:val="63C118F1"/>
    <w:rsid w:val="6794773C"/>
    <w:rsid w:val="68986F68"/>
    <w:rsid w:val="6CDC516A"/>
    <w:rsid w:val="7104581E"/>
    <w:rsid w:val="712A5284"/>
    <w:rsid w:val="74304580"/>
    <w:rsid w:val="75A257EA"/>
    <w:rsid w:val="7688560E"/>
    <w:rsid w:val="79C2793B"/>
    <w:rsid w:val="7DF6105B"/>
    <w:rsid w:val="7F5B18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1"/>
    <w:autoRedefine/>
    <w:qFormat/>
    <w:uiPriority w:val="0"/>
    <w:pPr>
      <w:keepNext/>
      <w:keepLines/>
      <w:spacing w:line="360" w:lineRule="auto"/>
      <w:outlineLvl w:val="0"/>
    </w:pPr>
    <w:rPr>
      <w:rFonts w:ascii="Calibri" w:hAnsi="Calibri" w:eastAsia="宋体"/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9"/>
    <w:autoRedefine/>
    <w:unhideWhenUsed/>
    <w:qFormat/>
    <w:uiPriority w:val="0"/>
    <w:pPr>
      <w:keepNext/>
      <w:keepLines/>
      <w:spacing w:before="50" w:beforeLines="50" w:line="360" w:lineRule="auto"/>
      <w:outlineLvl w:val="1"/>
    </w:pPr>
    <w:rPr>
      <w:rFonts w:ascii="Calibri" w:hAnsi="Calibri" w:eastAsia="宋体"/>
      <w:b/>
      <w:bCs/>
      <w:sz w:val="28"/>
      <w:szCs w:val="32"/>
    </w:rPr>
  </w:style>
  <w:style w:type="paragraph" w:styleId="4">
    <w:name w:val="heading 3"/>
    <w:basedOn w:val="1"/>
    <w:next w:val="1"/>
    <w:link w:val="10"/>
    <w:autoRedefine/>
    <w:semiHidden/>
    <w:unhideWhenUsed/>
    <w:qFormat/>
    <w:uiPriority w:val="0"/>
    <w:pPr>
      <w:keepNext/>
      <w:keepLines/>
      <w:spacing w:line="360" w:lineRule="auto"/>
      <w:outlineLvl w:val="2"/>
    </w:pPr>
    <w:rPr>
      <w:rFonts w:ascii="Calibri" w:hAnsi="Calibri" w:eastAsia="宋体"/>
      <w:b/>
      <w:bCs/>
      <w:sz w:val="28"/>
      <w:szCs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6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1"/>
    <w:basedOn w:val="1"/>
    <w:next w:val="1"/>
    <w:autoRedefine/>
    <w:qFormat/>
    <w:uiPriority w:val="0"/>
  </w:style>
  <w:style w:type="character" w:styleId="8">
    <w:name w:val="Hyperlink"/>
    <w:basedOn w:val="7"/>
    <w:autoRedefine/>
    <w:qFormat/>
    <w:uiPriority w:val="0"/>
    <w:rPr>
      <w:color w:val="0000FF"/>
      <w:u w:val="single"/>
    </w:rPr>
  </w:style>
  <w:style w:type="character" w:customStyle="1" w:styleId="9">
    <w:name w:val="标题 2 Char"/>
    <w:link w:val="3"/>
    <w:autoRedefine/>
    <w:qFormat/>
    <w:uiPriority w:val="0"/>
    <w:rPr>
      <w:rFonts w:ascii="Calibri" w:hAnsi="Calibri" w:eastAsia="宋体"/>
      <w:b/>
      <w:bCs/>
      <w:kern w:val="2"/>
      <w:sz w:val="28"/>
      <w:szCs w:val="32"/>
    </w:rPr>
  </w:style>
  <w:style w:type="character" w:customStyle="1" w:styleId="10">
    <w:name w:val="标题 3 Char"/>
    <w:link w:val="4"/>
    <w:autoRedefine/>
    <w:qFormat/>
    <w:uiPriority w:val="0"/>
    <w:rPr>
      <w:rFonts w:ascii="Calibri" w:hAnsi="Calibri" w:eastAsia="宋体"/>
      <w:b/>
      <w:bCs/>
      <w:kern w:val="2"/>
      <w:sz w:val="28"/>
      <w:szCs w:val="32"/>
    </w:rPr>
  </w:style>
  <w:style w:type="character" w:customStyle="1" w:styleId="11">
    <w:name w:val="标题 1 Char"/>
    <w:link w:val="2"/>
    <w:autoRedefine/>
    <w:qFormat/>
    <w:uiPriority w:val="0"/>
    <w:rPr>
      <w:rFonts w:ascii="Calibri" w:hAnsi="Calibri" w:eastAsia="宋体"/>
      <w:b/>
      <w:bCs/>
      <w:kern w:val="44"/>
      <w:sz w:val="44"/>
      <w:szCs w:val="44"/>
    </w:rPr>
  </w:style>
  <w:style w:type="paragraph" w:customStyle="1" w:styleId="12">
    <w:name w:val="WPSOffice手动目录 2"/>
    <w:autoRedefine/>
    <w:qFormat/>
    <w:uiPriority w:val="0"/>
    <w:pPr>
      <w:ind w:leftChars="200"/>
    </w:pPr>
    <w:rPr>
      <w:rFonts w:ascii="Times New Roman" w:hAnsi="Times New Roman" w:eastAsia="宋体" w:cs="Times New Roman"/>
      <w:sz w:val="20"/>
      <w:szCs w:val="20"/>
    </w:rPr>
  </w:style>
  <w:style w:type="paragraph" w:customStyle="1" w:styleId="13">
    <w:name w:val="WPSOffice手动目录 1"/>
    <w:autoRedefine/>
    <w:qFormat/>
    <w:uiPriority w:val="0"/>
    <w:pPr>
      <w:ind w:leftChars="0"/>
    </w:pPr>
    <w:rPr>
      <w:rFonts w:ascii="Times New Roman" w:hAnsi="Times New Roman" w:eastAsia="宋体" w:cs="Times New Roman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679</Words>
  <Characters>723</Characters>
  <Lines>0</Lines>
  <Paragraphs>0</Paragraphs>
  <TotalTime>2</TotalTime>
  <ScaleCrop>false</ScaleCrop>
  <LinksUpToDate>false</LinksUpToDate>
  <CharactersWithSpaces>736</CharactersWithSpaces>
  <Application>WPS Office_12.1.0.25225_F1E327BC-269C-435d-A152-05C5408002CA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2022-10-24T09:07:00Z</dcterms:created>
  <dc:creator>domo</dc:creator>
  <cp:lastModifiedBy>陈沛云</cp:lastModifiedBy>
  <dcterms:modified xsi:type="dcterms:W3CDTF">2026-03-16T08:15:14Z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45D5C3762C604FEC9F9677AC2BC8C671_13</vt:lpwstr>
  </property>
  <property fmtid="{D5CDD505-2E9C-101B-9397-08002B2CF9AE}" pid="4" name="KSOTemplateDocerSaveRecord">
    <vt:lpwstr>eyJoZGlkIjoiNzNiMGY3YWIzN2VhY2QyN2E0NTM5YjcwOTVjMGU5YjEiLCJ1c2VySWQiOiIxNTM2MTQ3MzE4In0=</vt:lpwstr>
  </property>
</Properties>
</file>